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50 vom 14. September 2021</w:t>
      </w:r>
    </w:p>
    <w:p>
      <w:r>
        <w:t>VS Kantonsgericht, 2021-09-14, FR</w:t>
      </w:r>
    </w:p>
    <w:p>
      <w:r>
        <w:rPr>
          <w:b/>
        </w:rPr>
        <w:t xml:space="preserve">Quelle: </w:t>
      </w:r>
      <w:r>
        <w:t>https://mcp.opencaselaw.ch/entscheid/vs_gerichte_P1 19 50</w:t>
      </w:r>
    </w:p>
    <w:p>
      <w:r>
        <w:t>FR: VS_GERICHTE P1 19 50 du 14 septembre 2021</w:t>
      </w:r>
    </w:p>
    <w:p>
      <w:r>
        <w:t>IT: VS_GERICHTE P1 19 50 del 14 settembre 2021</w:t>
      </w:r>
    </w:p>
    <w:p>
      <w:pPr>
        <w:pStyle w:val="Heading2"/>
      </w:pPr>
      <w:r>
        <w:t>Regeste</w:t>
      </w:r>
    </w:p>
    <w:p>
      <w:r>
        <w:t>P1 19 50 JUGEMENT DU 14 SEPTEMBRE 2021 Tribunal cantonal du Valais Cour pénale II Christian Zuber, juge ; Geneviève Fellay, greffière ; en la cause Ministère public contre X _________, prévenu appelant, représenté par Maître M _________, (conduite sans autorisation [art. 95 al. 1 let. b LCR]; contravention à la loi fédérale sur les stupéfiants [art. 19a ch. 1 LStup])</w:t>
      </w:r>
    </w:p>
    <w:p>
      <w:pPr>
        <w:pStyle w:val="Heading2"/>
      </w:pPr>
      <w:r>
        <w:t>Erwägungen</w:t>
      </w:r>
    </w:p>
    <w:p>
      <w:r>
        <w:rPr>
          <w:b/>
        </w:rPr>
        <w:t>E. 5</w:t>
      </w:r>
    </w:p>
    <w:p>
      <w:r>
        <w:t>Aux termes de l'article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L’infraction est consommée lorsque l’auteur entreprend la course, même sur quelques mètres (JEANNERET, les dispositions pénales de la loi sur la circulation routière, n. 7 ad art. 95 LCR). Celui qui, sans droit, aura consommé intentionnellement des stupéfiants ou celui qui aura commis une infraction à l’article 19 LStup pour assurer sa propre consommation est passible de l’amende (art. 19a ch. 1 LStup). Au vu des faits retenus, c’est à bon droit que le juge de première instance a estimé que les conditions d'application des articles 95 al. 1 let. b LCR et 19a ch. 1 LStup étaient réunies en l’espèce et que X _________ devait être reconnu coupable de conduite sans autorisation et de contravention à la loi fédérale sur les stupéfiants.</w:t>
      </w:r>
    </w:p>
    <w:p>
      <w:r>
        <w:rPr>
          <w:b/>
        </w:rPr>
        <w:t>E. 6.1.1</w:t>
      </w:r>
    </w:p>
    <w:p>
      <w:r>
        <w:t>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w:t>
      </w:r>
    </w:p>
    <w:p>
      <w:r>
        <w:t>- 8 -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 L’article 47 CP ajoute comme critère l'effet de la peine sur l'avenir du condamné. Cet aspect de prévention spéciale ne permet toutefois que des corrections marginales, la peine devant toujours être proportionnée à la faute (arrêt 6B_233/2020 du 5 juin 2020 consid. 3.2 et les références citées).</w:t>
      </w:r>
    </w:p>
    <w:p>
      <w:r>
        <w:rPr>
          <w:b/>
        </w:rPr>
        <w:t>E. 6.1.2</w:t>
      </w:r>
    </w:p>
    <w:p>
      <w:r>
        <w:t>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l'article 49 al. 1 CP, que les peines soient de même genre, implique que le juge examine, pour chaque infraction commise, la nature de la peine à prononcer pour chacune d'elles.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 et les références citées; ATF 145 IV 1 consid. 1.2).</w:t>
      </w:r>
    </w:p>
    <w:p>
      <w:r>
        <w:rPr>
          <w:b/>
        </w:rPr>
        <w:t>E. 6.1.3</w:t>
      </w:r>
    </w:p>
    <w:p>
      <w:r>
        <w:t>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130 I 312 consid. 5.1; arrêt 6B_1463/2019 du 20 février 2019 consid. 2.1.2). La violation du principe de la célérité peut avoir pour conséquence la diminution de la peine, parfois l'exemption de toute peine ou encore une ordonnance de classement en tant qu'ultima ratio dans les cas les plus extrêmes. Il incombe au juge d'indiquer comment et dans quelle mesure il a tenu compte de cette circonstance (ATF 143 IV 373</w:t>
      </w:r>
    </w:p>
    <w:p>
      <w:r>
        <w:t>- 9 - consid. 1.4.1; 135 IV 12 consid. 3.6; arrêt 6B_1463/2019 du 20 février 2019 consid. 2.1.2).</w:t>
      </w:r>
    </w:p>
    <w:p>
      <w:r>
        <w:rPr>
          <w:b/>
        </w:rPr>
        <w:t>E. 6.2</w:t>
      </w:r>
    </w:p>
    <w:p>
      <w:r>
        <w:t>En l’espèce, la situation personnelle et les antécédents judiciaires de X _________ ont été exposés ci-dessus (cf. consid. 4). L’infraction à l’article 95 al. 1 LCR est punie d’une peine privative de liberté de 3 ans au plus ou d’une peine pécunaire. En prenant le volant d’un véhicule automobile, alors que son permis de conduire lui avait été retiré, X _________ a commis une faute moyenne. Malgré un passé d'automobiliste peu reluisant, il a persisté à enfreindre la législation en matière de circulation routière. Son profil de délinquant d’habitude en matière de circulation routière ne peut pas justifier une quelconque clémence. Ses précédentes condamnations pénales ne l’ont en effet nullement dissuadé d’adopter un comportement conforme au droit. Même s’il souhaitait rendre service à son épouse, les agissements du prévenu dénotent un mépris certain de l'ordre juridique, alors qu’il lui était facile respecter l’injonction de l’autorité administrative de ne pas conduire par exemple en demandant à son épouse de prendre un taxi pour regagner son domicile, voire en sollicitant un tiers pour aller chercher cette dernière. Il convient également de relativiser les conséquences de son comportement, puisque son employeur lui met à disposition un chauffeur pour l’exercice de son activité professionnelle. Les conséquences de son retrait de permis actuel ne seraient dès lors être considérées comme « fatales ». En revanche, son comportement en procédure ne prête pas flanc à la critique. Le prévenu, dont la responsabilité est pleine et entière, ne peut se prévaloir d’aucune circonstance atténuante. En revanche, plus de deux ans se sont écoulés depuis le jugement de première instance et près de trois ans et quatre mois depuis les faits. Il convient de tenir compte de cette période d’inactivité au regard du principe de célérité. L’infraction à la loi fédérale sur la circulation routière et la contravention à la loi fédérale sur les stupéfiants n’étant pas sanctionnées d’une peine de même genre, il y a lieu de prononcer deux peines cumulatives. Au vu des circonstances du cas d’espèce, de la gravité non négligeable de la faute commise, de la situation personnelle du prévenu et de la violation du principe de célérité, qui justifie une réduction d’un quart de la peine pécuniaire prononcée en première instance, l’autorité d’appel estime qu’une peine pécuniaire de 45 jours-amende est adéquate pour sanctionner l’infraction perpétrée par l'accusé.</w:t>
      </w:r>
    </w:p>
    <w:p>
      <w:r>
        <w:t>- 10 - L'appelant n'a pas contesté, subsidiairement, l'ampleur du jour-amende. Il n'a versé en cause aucune pièce de nature à actualiser sa situation pécuniaire. Dans ces circonstances, il convient de confirmer le montant de 40 fr. par unité de jour-amende, arrêté par le premier juge. L’amende de 200 fr. sanctionnant la contravention à l’article 19a ch. 1 LStup doit être confirmée, de même que la peine privative de liberté de substitution fixée à 5 jours (art. 106 al. 2 CP).</w:t>
      </w:r>
    </w:p>
    <w:p>
      <w:r>
        <w:rPr>
          <w:b/>
        </w:rPr>
        <w:t>E. 7.1</w:t>
      </w:r>
    </w:p>
    <w:p>
      <w:r>
        <w:t>L'exécution d'une peine pécuniaire ou d'une peine privative de liberté inférieure ou égale à deux ans est, en règle générale, suspendue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le détourner de commettre de nouvelles infractions doit être tranchée sur la base d'une appréciation d'ensemble, tenant compte des circonstances de l'infraction, des antécédents du condamné, de sa réputation et de sa situation personnelle au moment du jugement, notamment de l'état d'esprit qu'il manifeste. Le pronostic doit être fondé sur tous les éléments propres à éclairer l'ensemble du caractère de l'intéressé et ses chances d'amendement. Il n'est pas admissible d'accorder un poids particulier à certains critères et d'en négliger d'autres qui sont pertinents. Le sursis constitue la règle dont on ne peut s'écarter qu'en présence d'un pronostic défavorable. Il prime en cas d'incertitude (cf. arrêts 6B_1247/2017 du 30 mai 2018 consid. 2.1, 6B_1339/2016 du 23 mars 2017 consid. 1.1.1 et 6B_1227/2015 du 29 juillet 2016 consid. 1.2.1 ainsi que les références citées).</w:t>
      </w:r>
    </w:p>
    <w:p>
      <w:r>
        <w:rPr>
          <w:b/>
        </w:rPr>
        <w:t>E. 7.2</w:t>
      </w:r>
    </w:p>
    <w:p>
      <w:r>
        <w:t>Le prévenu appelant n'a pas critiqué le refus du sursis. A juste titre. X _________ a intentionnellement pris le volant en avril 2018, soit une année après avoir été libéré conditionnellement et seulement 2 mois après avoir fait l’objet d’une prolongation du délai d’épreuve. Vu ses nombreux antécédents judiciaires, qui n’ont pas eu d’influence sur son comportement contraire au droit, seule une peine ferme est susceptible de le détourner de commettre à l’avenir de nouvelles infractions. Aucun pronostic favorable ne peut ainsi être posé.</w:t>
      </w:r>
    </w:p>
    <w:p>
      <w:r>
        <w:rPr>
          <w:b/>
        </w:rPr>
        <w:t>E. 8.1</w:t>
      </w:r>
    </w:p>
    <w:p>
      <w:r>
        <w:t>Aux termes de l’article 89 CP, si, durant le délai d’épreuve, le détenu libéré conditionnellement commet un crime ou un délit, le juge qui connait de la nouvelle</w:t>
      </w:r>
    </w:p>
    <w:p>
      <w:r>
        <w:t>- 11 - infraction ordonne sa réintégration dans l’établissement (al. 1). Si, malgré le crime ou le délit commis pendant le délai d’épreuve, il n’y a pas lieu de craindre que le condamné ne commette de nouvelles infractions, le juge renonce à la réintégration (al. 2). Toutefois, la réintégration ne peut plus être ordonnée lorsque trois ans se sont écoulés depuis l’expiration du délai d’épreuve (al. 4).</w:t>
      </w:r>
    </w:p>
    <w:p>
      <w:r>
        <w:rPr>
          <w:b/>
        </w:rPr>
        <w:t>E. 8.2</w:t>
      </w:r>
    </w:p>
    <w:p>
      <w:r>
        <w:t>Il ressort de l'extrait du casier judiciaire du prévenu que la décision prolongeant de 6 mois le délai d’épreuve a été prononcée le 15 février 2018. C’est dire que le délai d’épreuve est arrivé à échéance le 15 août 2018. Dans le mesure où le présent jugement se substitue à celui de l'autorité de première instance (cf. art. 408 CPP), le délai de l'article 89 al. 4 CP est à présent échu. Aucune norme du Code pénal ne prévoit que ce délai cesse de courir après un jugement de première instance (arrêt TF 6B_114/2013 consid. 13 in SJ 2014 I p. 258). En conséquence, l’ordre de réintégration, qui était possible au moment du prononcé de première instance, ne peut plus l’être en appel. Il convient dès lors de renoncer à la réintégration de X _________ dans un établissement de détention. Il s’ensuit l’admission de l’appel.</w:t>
      </w:r>
    </w:p>
    <w:p>
      <w:r>
        <w:rPr>
          <w:b/>
        </w:rPr>
        <w:t>E. 9.1</w:t>
      </w:r>
    </w:p>
    <w:p>
      <w:r>
        <w:t>X _________demeure condamné pour toutes les infractions retenues à son encontre par le premier juge. Les griefs de l’appelant n’ont été admis qu’en raison de l’écoulement du temps en procédure d’appel. Dans ces circonstances, il ne se justifie pas de modifier l’ampleur des frais d’instruction (500 fr.) et de première instance (200 fr.), que le prévenu ne conteste au demeurant pas, ainsi que le fait qu’ils ont été mis à sa charge (cf. art. 426 al. 1 CPP). Pour les mêmes raisons, l’intéressé ne peut prétendre à une indemnité pour les dépenses occasionnées par l’exercice de ses droits de procédure en première instance (ATF 137 IV 352 consid. 2.4.2).</w:t>
      </w:r>
    </w:p>
    <w:p>
      <w:r>
        <w:rPr>
          <w:b/>
        </w:rPr>
        <w:t>E. 9.2</w:t>
      </w:r>
    </w:p>
    <w:p>
      <w:r>
        <w:t>Les frais de la procédure de recours sont mis à la charge des parties dans la mesure où elles ont obtenu gain de cause ou succombé (art. 428 al. 1 CPP). Lorsqu’une partie qui interjette un recours obtient une décision qui lui est plus favorable, les frais de la procédure peuvent être mis à sa charge lorsque les conditions qui lui ont permis d’obtenir gain de cause n’ont été réalisées que dans la procédure de recours (art. 428 al. 2 let. a CPP).</w:t>
      </w:r>
    </w:p>
    <w:p>
      <w:r>
        <w:t>En l'espèce, la violation du principe de célérité est intervenue après le dépôt de l'appel. Elle a certes conduit à réduire la quotité de la peine pécuniaire, mais non à prononcer</w:t>
      </w:r>
    </w:p>
    <w:p>
      <w:r>
        <w:t>- 12 - un classement (sur le principe du caractère accessoire des coûts; cf. ATF 143 IV 373 consid. 1.4.2). S’agissant du refus d’ordonner la réintégration du prévenu dans un établissement de détention, il a été décidé en raison de l’écoulement du temps en appel. Ainsi, nonobstant la réforme du jugement querellé, les frais de seconde instance sont mis à la charge du prévenu, qui supporte ses dépens.</w:t>
      </w:r>
    </w:p>
    <w:p>
      <w:r>
        <w:t>Compte tenu de la faible ampleur de la cause, de sa relative simplicité ainsi que des principes de la couverture des frais et de l'équivalence des prestations (art. 13 et 22 let. f LTar), les frais de la procédure d'appel sont arrêtés à 500 fr. (y compris 25 fr. pour les services d'un huissier; art. 10 al. 2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